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C2" w:rsidRDefault="00ED79C2" w:rsidP="00ED79C2">
      <w:pPr>
        <w:pStyle w:val="1"/>
      </w:pPr>
      <w:r>
        <w:t>(7647-01-0)盐酸的理化及危险特性表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702"/>
        <w:gridCol w:w="2473"/>
        <w:gridCol w:w="2510"/>
      </w:tblGrid>
      <w:tr w:rsidR="00ED79C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中文名：盐酸；氢氯酸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：</w:t>
            </w:r>
            <w:r>
              <w:rPr>
                <w:rFonts w:ascii="宋体" w:hAnsi="宋体" w:hint="eastAsia"/>
                <w:spacing w:val="-20"/>
              </w:rPr>
              <w:t>hydrochloric acid</w:t>
            </w:r>
            <w:r>
              <w:rPr>
                <w:rFonts w:ascii="宋体" w:hAnsi="宋体" w:hint="eastAsia"/>
                <w:spacing w:val="-20"/>
                <w:lang w:val="en-GB"/>
              </w:rPr>
              <w:t>；</w:t>
            </w:r>
            <w:r>
              <w:rPr>
                <w:rFonts w:ascii="宋体" w:hAnsi="宋体" w:hint="eastAsia"/>
                <w:spacing w:val="-20"/>
              </w:rPr>
              <w:t>chlorohydric acid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HCl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分子量：36.46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UN编号：1789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危险类别：第8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类；酸性腐蚀品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危规号：81013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CAS号：7647-01-0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包装标志：腐蚀品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外观与性状：无色或微黄色发烟液体，有刺鼻的酸味。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溶解性：与水混溶，溶于碱液。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熔点（℃）：-114.8（纯）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沸点（℃）：108. 6（20</w:t>
            </w:r>
            <w:r>
              <w:rPr>
                <w:rFonts w:ascii="宋体" w:hAnsi="宋体" w:hint="eastAsia"/>
                <w:vertAlign w:val="superscript"/>
              </w:rPr>
              <w:t>0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vertAlign w:val="subscript"/>
              </w:rPr>
              <w:t>0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相对密度（水＝1）：1.20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相对密度（空气＝1）：1.26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饱和蒸气压（kPa）：30.66(21℃)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ED79C2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  无意义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 氯化氢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禁忌物：碱类、胺类、碱金属、易燃或可燃物。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危险特性：能与一些活性金属粉末发生反应，放出氢气。遇氰化物能产生剧毒的氰化氢气体。与碱发生中和反应，并放出大量的热。具有较强的腐蚀性。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灭火方法：消防人员必须佩戴氧气呼吸器、穿全身防护服。用碱性物质如碳酸氢钠、碳酸钠、消石灰等中和。也可用大量水扑救。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：—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：—</w:t>
            </w:r>
          </w:p>
        </w:tc>
      </w:tr>
      <w:tr w:rsidR="00ED79C2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触其蒸气或烟雾，可引起急性中毒，出现眼结膜炎，鼻及口腔粘膜有烧灼感，鼻拗，齿龈出血，气管炎等。误服可引起消化道灼伤、溃疡形成，有可能引起引起胃穿孔、腹膜炎等。眼和皮肤接触可致灼伤。慢性影响：长期接触，引起慢性鼻炎、慢性支气管炎、牙齿酸蚀症及皮肤损害。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皮肤接触：立即脱去被污染的衣着，用大量流动清水冲洗，至少15分钟。就医。  ※眼睛接触：立即提起眼睑，用大量流动清水或生理盐水彻底冲洗至少15分钟。就医。    ※吸入：迅速脱离现场至空气新鲜处。保持呼吸道通畅。如呼吸困难，给输氧。如呼吸停止，立即进行人工呼吸，就医。   ※食入：误食者用水漱口，给饮牛奶或蛋清。就医。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工程控制：密闭操作，注意通风。尽可能机械化、自动化。提供安全淋浴和洗眼设备。    ※呼吸系统防护：可能接触其烟雾时，佩戴自吸过滤式防毒面具（全面罩）或空气呼吸器。紧急事态抢救或撒离时佩戴氧气呼吸器。   ※眼睛防护：呼吸系统防护中已作防护。   ※身体防护：穿橡胶耐酸碱服。   ※手防护：戴橡胶耐酸碱手套。    ※其他：工作场所禁止吸烟，进食、饮水和饭前要洗手。工作毕，淋浴更衣。单独存放被毒物污染的衣服，洗后备用。保持良好的卫生习惯。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酸碱工作服。不要直接接触泄漏物。尽可能切断泄漏源。防止进入下水道、排洪沟等限制性空间。小量泄漏：用砂土、干燥石灰或苏打灰混合。也可以用大量水冲洗，洗水稀释后放入废水系统。大量泄漏：构筑围堤或挖坑收容；用泵转移至槽车或专用收集器内，回收或运至废物处理场所处置。</w:t>
            </w:r>
          </w:p>
        </w:tc>
      </w:tr>
      <w:tr w:rsidR="00ED79C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9C2" w:rsidRDefault="00ED79C2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应与碱类、金属粉末、卤素（氟、氯、溴）、易燃或可燃物等分开存放。不可混储混运。搬运时要轻装轻卸，防止包装及容器损坏。分装和搬运作业要注意个人防护。运输按规定路线行驶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C2"/>
    <w:rsid w:val="00E63B54"/>
    <w:rsid w:val="00E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3A0EF-E034-428A-8246-0276AF68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D79C2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D79C2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zyhq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